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11CDA944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91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B7003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5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наурыз</w:t>
      </w:r>
      <w:r w:rsidR="00E7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60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305C9724" w14:textId="6B1F1ABD" w:rsidR="005843A5" w:rsidRPr="005843A5" w:rsidRDefault="005843A5" w:rsidP="005843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5">
        <w:rPr>
          <w:rFonts w:ascii="Times New Roman" w:hAnsi="Times New Roman" w:cs="Times New Roman"/>
          <w:b/>
          <w:sz w:val="28"/>
          <w:szCs w:val="28"/>
          <w:lang w:val="kk-KZ"/>
        </w:rPr>
        <w:t>«Жас дәурен» сауықтыру лагері қызметкерлерін 2023 жылға арналған медициналық тексеру» байқауы</w:t>
      </w:r>
    </w:p>
    <w:p w14:paraId="64C64767" w14:textId="0F1193B7" w:rsidR="00FC63F8" w:rsidRPr="00FC63F8" w:rsidRDefault="00FC63F8" w:rsidP="00FC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01D4D959" w:rsidR="009F2BA1" w:rsidRPr="00E75918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>Қызметтерді сатып алу бойынша осы тендерге бө</w:t>
      </w:r>
      <w:proofErr w:type="gramStart"/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 xml:space="preserve">інген сома ҚҚС-сыз </w:t>
      </w:r>
      <w:r w:rsidR="00E75918" w:rsidRPr="00E75918">
        <w:rPr>
          <w:rFonts w:ascii="Times New Roman" w:hAnsi="Times New Roman" w:cs="Times New Roman"/>
          <w:b/>
          <w:sz w:val="28"/>
          <w:szCs w:val="28"/>
          <w:lang w:val="kk-KZ"/>
        </w:rPr>
        <w:t>33 576-00 (Отыз үш мың бес жүз жетпіс алты теңге 00 тиын)</w:t>
      </w:r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9F2BA1" w:rsidRPr="00E7591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6D289F2F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0D3911">
        <w:rPr>
          <w:rStyle w:val="y2iqfc"/>
          <w:rFonts w:ascii="Times New Roman" w:hAnsi="Times New Roman" w:cs="Times New Roman"/>
          <w:sz w:val="28"/>
          <w:szCs w:val="28"/>
          <w:lang w:val="kk-KZ"/>
        </w:rPr>
        <w:t>07</w:t>
      </w:r>
      <w:r w:rsidR="0024298D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9CD99" w14:textId="77777777" w:rsidR="00EB15D0" w:rsidRDefault="00EB15D0" w:rsidP="00843BD5">
      <w:pPr>
        <w:spacing w:after="0" w:line="240" w:lineRule="auto"/>
      </w:pPr>
      <w:r>
        <w:separator/>
      </w:r>
    </w:p>
  </w:endnote>
  <w:endnote w:type="continuationSeparator" w:id="0">
    <w:p w14:paraId="6A93A025" w14:textId="77777777" w:rsidR="00EB15D0" w:rsidRDefault="00EB15D0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26E1" w14:textId="77777777" w:rsidR="00EB15D0" w:rsidRDefault="00EB15D0" w:rsidP="00843BD5">
      <w:pPr>
        <w:spacing w:after="0" w:line="240" w:lineRule="auto"/>
      </w:pPr>
      <w:r>
        <w:separator/>
      </w:r>
    </w:p>
  </w:footnote>
  <w:footnote w:type="continuationSeparator" w:id="0">
    <w:p w14:paraId="5F1D932D" w14:textId="77777777" w:rsidR="00EB15D0" w:rsidRDefault="00EB15D0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3911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113C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4298D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A056E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3A5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75918"/>
    <w:rsid w:val="00E856B8"/>
    <w:rsid w:val="00E8683C"/>
    <w:rsid w:val="00E86D74"/>
    <w:rsid w:val="00E9517C"/>
    <w:rsid w:val="00E97A79"/>
    <w:rsid w:val="00EA3353"/>
    <w:rsid w:val="00EA4884"/>
    <w:rsid w:val="00EB15D0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53</cp:revision>
  <cp:lastPrinted>2023-03-28T09:12:00Z</cp:lastPrinted>
  <dcterms:created xsi:type="dcterms:W3CDTF">2017-02-28T05:44:00Z</dcterms:created>
  <dcterms:modified xsi:type="dcterms:W3CDTF">2023-03-29T02:00:00Z</dcterms:modified>
</cp:coreProperties>
</file>